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38" w:rsidRDefault="00BB6E38" w:rsidP="002D096A">
      <w:bookmarkStart w:id="0" w:name="_GoBack"/>
      <w:bookmarkEnd w:id="0"/>
      <w:r w:rsidRPr="00BB6E3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38" w:rsidRDefault="00BB6E38" w:rsidP="002D096A"/>
    <w:p w:rsidR="002D096A" w:rsidRDefault="002D096A" w:rsidP="002D096A">
      <w:r>
        <w:tab/>
      </w:r>
    </w:p>
    <w:p w:rsidR="002D096A" w:rsidRDefault="002D096A" w:rsidP="002D096A"/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2D096A" w:rsidTr="002D096A">
        <w:trPr>
          <w:trHeight w:val="1419"/>
        </w:trPr>
        <w:tc>
          <w:tcPr>
            <w:tcW w:w="9714" w:type="dxa"/>
          </w:tcPr>
          <w:p w:rsidR="002D096A" w:rsidRPr="00F1154E" w:rsidRDefault="00CD27E2" w:rsidP="002D096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8240" from="37.05pt,4.7pt" to="37.05pt,4.7pt" o:allowincell="f"/>
              </w:pict>
            </w:r>
            <w:r w:rsidR="00F55653">
              <w:rPr>
                <w:b/>
              </w:rPr>
              <w:t>КОНТРОЛЬНО-СЧЕТНЫЙ ОРГАН</w:t>
            </w:r>
          </w:p>
          <w:p w:rsidR="002D096A" w:rsidRPr="00F1154E" w:rsidRDefault="007B7EEE" w:rsidP="002D096A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ТЕРНОВСК</w:t>
            </w:r>
            <w:r w:rsidR="002D096A" w:rsidRPr="00F1154E">
              <w:rPr>
                <w:sz w:val="24"/>
                <w:szCs w:val="24"/>
              </w:rPr>
              <w:t>ОГО МУНИЦИПАЛЬНОГО РАЙОНА</w:t>
            </w:r>
          </w:p>
          <w:p w:rsidR="002D096A" w:rsidRPr="00F1154E" w:rsidRDefault="002D096A" w:rsidP="002D096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154E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ВОРОНЕЖСКОЙ ОБЛАСТИ</w:t>
            </w:r>
          </w:p>
          <w:p w:rsidR="002D096A" w:rsidRDefault="002D096A" w:rsidP="002D096A">
            <w:pPr>
              <w:jc w:val="center"/>
            </w:pPr>
          </w:p>
        </w:tc>
      </w:tr>
    </w:tbl>
    <w:p w:rsidR="00F55653" w:rsidRPr="00F1154E" w:rsidRDefault="00F55653" w:rsidP="00F55653">
      <w:pPr>
        <w:ind w:left="5670"/>
        <w:jc w:val="right"/>
      </w:pPr>
      <w:r>
        <w:t xml:space="preserve">    </w:t>
      </w:r>
      <w:r w:rsidRPr="00F1154E">
        <w:t>УТВЕРЖДАЮ</w:t>
      </w:r>
    </w:p>
    <w:p w:rsidR="00F55653" w:rsidRPr="00F1154E" w:rsidRDefault="00F55653" w:rsidP="00F55653">
      <w:pPr>
        <w:ind w:left="5670"/>
        <w:jc w:val="right"/>
      </w:pPr>
      <w:r w:rsidRPr="00F1154E">
        <w:t xml:space="preserve">Председатель </w:t>
      </w:r>
    </w:p>
    <w:p w:rsidR="00F55653" w:rsidRDefault="00F55653" w:rsidP="00F55653">
      <w:pPr>
        <w:ind w:left="5670"/>
        <w:jc w:val="right"/>
      </w:pPr>
      <w:r>
        <w:t>Контрольно-счетного органа</w:t>
      </w:r>
    </w:p>
    <w:p w:rsidR="00F55653" w:rsidRPr="00F1154E" w:rsidRDefault="00F55653" w:rsidP="00F55653">
      <w:pPr>
        <w:ind w:left="5670"/>
        <w:jc w:val="right"/>
      </w:pPr>
      <w:r>
        <w:t>Терновского муниципального района</w:t>
      </w:r>
    </w:p>
    <w:p w:rsidR="00F55653" w:rsidRPr="00F1154E" w:rsidRDefault="00F55653" w:rsidP="00F55653">
      <w:pPr>
        <w:spacing w:before="120"/>
        <w:ind w:left="5670"/>
        <w:jc w:val="right"/>
      </w:pPr>
      <w:r w:rsidRPr="00F1154E">
        <w:t>_____________</w:t>
      </w:r>
      <w:proofErr w:type="spellStart"/>
      <w:r>
        <w:t>И.Н.Ключевская</w:t>
      </w:r>
      <w:proofErr w:type="spellEnd"/>
    </w:p>
    <w:p w:rsidR="00F55653" w:rsidRDefault="00F55653" w:rsidP="00F55653">
      <w:pPr>
        <w:pStyle w:val="a3"/>
        <w:jc w:val="center"/>
      </w:pPr>
      <w:r>
        <w:t xml:space="preserve">                                                                                                </w:t>
      </w:r>
      <w:r w:rsidRPr="00F1154E">
        <w:t>«</w:t>
      </w:r>
      <w:r>
        <w:t>14</w:t>
      </w:r>
      <w:r w:rsidRPr="00F1154E">
        <w:t>»</w:t>
      </w:r>
      <w:r>
        <w:t xml:space="preserve">  октября  2021</w:t>
      </w:r>
      <w:r w:rsidRPr="00F1154E">
        <w:t xml:space="preserve"> г.</w:t>
      </w:r>
      <w:r>
        <w:t xml:space="preserve"> №1</w:t>
      </w:r>
    </w:p>
    <w:p w:rsidR="00F21087" w:rsidRDefault="00F21087" w:rsidP="00F21087">
      <w:pPr>
        <w:pStyle w:val="a3"/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5E6A53">
        <w:rPr>
          <w:rFonts w:eastAsiaTheme="minorEastAsia"/>
          <w:b/>
          <w:sz w:val="28"/>
          <w:szCs w:val="28"/>
        </w:rPr>
        <w:t xml:space="preserve">Стандарт внешнего муниципального финансового контроля </w:t>
      </w:r>
      <w:r>
        <w:rPr>
          <w:rFonts w:eastAsiaTheme="minorEastAsia"/>
          <w:b/>
          <w:sz w:val="28"/>
          <w:szCs w:val="28"/>
        </w:rPr>
        <w:t>Контрольно-счетного органа Тернов</w:t>
      </w:r>
      <w:r w:rsidRPr="005E6A53">
        <w:rPr>
          <w:rFonts w:eastAsiaTheme="minorEastAsia"/>
          <w:b/>
          <w:sz w:val="28"/>
          <w:szCs w:val="28"/>
        </w:rPr>
        <w:t xml:space="preserve">ского муниципального района  «Организация и проведение внешней проверки годового отчета об исполнении </w:t>
      </w:r>
      <w:r>
        <w:rPr>
          <w:rFonts w:eastAsiaTheme="minorEastAsia"/>
          <w:b/>
          <w:sz w:val="28"/>
          <w:szCs w:val="28"/>
        </w:rPr>
        <w:t>бюджета Тернов</w:t>
      </w:r>
      <w:r w:rsidRPr="005E6A53">
        <w:rPr>
          <w:rFonts w:eastAsiaTheme="minorEastAsia"/>
          <w:b/>
          <w:sz w:val="28"/>
          <w:szCs w:val="28"/>
        </w:rPr>
        <w:t>ского муниципального района»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</w:t>
      </w:r>
      <w:proofErr w:type="gramStart"/>
      <w:r>
        <w:rPr>
          <w:rFonts w:eastAsiaTheme="minorEastAsia"/>
          <w:sz w:val="28"/>
          <w:szCs w:val="28"/>
        </w:rPr>
        <w:t>.Т</w:t>
      </w:r>
      <w:proofErr w:type="gramEnd"/>
      <w:r>
        <w:rPr>
          <w:rFonts w:eastAsiaTheme="minorEastAsia"/>
          <w:sz w:val="28"/>
          <w:szCs w:val="28"/>
        </w:rPr>
        <w:t>ерновка</w:t>
      </w:r>
      <w:proofErr w:type="spellEnd"/>
      <w:r w:rsidRPr="005E6A53">
        <w:rPr>
          <w:rFonts w:eastAsiaTheme="minorEastAsia"/>
          <w:sz w:val="28"/>
          <w:szCs w:val="28"/>
        </w:rPr>
        <w:t xml:space="preserve"> 2021</w:t>
      </w:r>
    </w:p>
    <w:p w:rsid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lastRenderedPageBreak/>
        <w:t>2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СОДЕРЖАНИЕ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1. Общие положения.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2. Правовые и информационные основы, цель, задачи и объекты внешней проверки годового отчета об исполнении областного бюджета.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3.Организация проведения внешней проверки годового отчета об исполнении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4. Содержание и структура документов, оформляемых по результатам внешней проверки бюджетной отчетности ГАБС.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5. Содержание и структура Заключения на отчет об исполнении бюджета за отчетный финансовый год.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3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lastRenderedPageBreak/>
        <w:t xml:space="preserve"> 3 1. Общие положения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3.1. </w:t>
      </w:r>
      <w:proofErr w:type="gramStart"/>
      <w:r w:rsidRPr="005E6A53">
        <w:rPr>
          <w:rFonts w:eastAsiaTheme="minorEastAsia"/>
          <w:sz w:val="28"/>
          <w:szCs w:val="28"/>
        </w:rPr>
        <w:t xml:space="preserve">Стандарт внешнего муниципального финансового контроля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 «Организация и проведение внешней проверки годового отчета об исполнении </w:t>
      </w:r>
      <w:r>
        <w:rPr>
          <w:rFonts w:eastAsiaTheme="minorEastAsia"/>
          <w:sz w:val="28"/>
          <w:szCs w:val="28"/>
        </w:rPr>
        <w:t>бюджета 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района» (далее – Стандарт) разработан в соответствии с Бюджетным Кодексом РФ,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rFonts w:eastAsiaTheme="minorEastAsia"/>
          <w:sz w:val="28"/>
          <w:szCs w:val="28"/>
        </w:rPr>
        <w:t>Положением о Контрольно-счетного органа Тернов</w:t>
      </w:r>
      <w:r w:rsidRPr="005E6A53">
        <w:rPr>
          <w:rFonts w:eastAsiaTheme="minorEastAsia"/>
          <w:sz w:val="28"/>
          <w:szCs w:val="28"/>
        </w:rPr>
        <w:t>ского муниципального района  Воронежской области</w:t>
      </w:r>
      <w:r>
        <w:rPr>
          <w:rFonts w:eastAsiaTheme="minorEastAsia"/>
          <w:sz w:val="28"/>
          <w:szCs w:val="28"/>
        </w:rPr>
        <w:t xml:space="preserve"> от 14.10.2021 №134</w:t>
      </w:r>
      <w:r w:rsidRPr="005E6A53">
        <w:rPr>
          <w:rFonts w:eastAsiaTheme="minorEastAsia"/>
          <w:sz w:val="28"/>
          <w:szCs w:val="28"/>
        </w:rPr>
        <w:t>, Положение</w:t>
      </w:r>
      <w:proofErr w:type="gramEnd"/>
      <w:r w:rsidRPr="005E6A53">
        <w:rPr>
          <w:rFonts w:eastAsiaTheme="minorEastAsia"/>
          <w:sz w:val="28"/>
          <w:szCs w:val="28"/>
        </w:rPr>
        <w:t xml:space="preserve"> </w:t>
      </w:r>
      <w:proofErr w:type="gramStart"/>
      <w:r w:rsidRPr="005E6A53">
        <w:rPr>
          <w:rFonts w:eastAsiaTheme="minorEastAsia"/>
          <w:sz w:val="28"/>
          <w:szCs w:val="28"/>
        </w:rPr>
        <w:t>о б</w:t>
      </w:r>
      <w:r>
        <w:rPr>
          <w:rFonts w:eastAsiaTheme="minorEastAsia"/>
          <w:sz w:val="28"/>
          <w:szCs w:val="28"/>
        </w:rPr>
        <w:t>юджетном процессе в Тернов</w:t>
      </w:r>
      <w:r w:rsidRPr="005E6A53">
        <w:rPr>
          <w:rFonts w:eastAsiaTheme="minorEastAsia"/>
          <w:sz w:val="28"/>
          <w:szCs w:val="28"/>
        </w:rPr>
        <w:t xml:space="preserve">ском районе Воронежской области,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(993), а также в соответствии Регламентом </w:t>
      </w:r>
      <w:r>
        <w:rPr>
          <w:rFonts w:eastAsiaTheme="minorEastAsia"/>
          <w:sz w:val="28"/>
          <w:szCs w:val="28"/>
        </w:rPr>
        <w:t>Контрольно-счетного органа Тернов</w:t>
      </w:r>
      <w:r w:rsidRPr="005E6A53">
        <w:rPr>
          <w:rFonts w:eastAsiaTheme="minorEastAsia"/>
          <w:sz w:val="28"/>
          <w:szCs w:val="28"/>
        </w:rPr>
        <w:t>ского муниципального района.</w:t>
      </w:r>
      <w:proofErr w:type="gramEnd"/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3.2. </w:t>
      </w:r>
      <w:proofErr w:type="gramStart"/>
      <w:r w:rsidRPr="005E6A53">
        <w:rPr>
          <w:rFonts w:eastAsiaTheme="minorEastAsia"/>
          <w:sz w:val="28"/>
          <w:szCs w:val="28"/>
        </w:rPr>
        <w:t xml:space="preserve">Целью стандарта является установление единых организационно-правовых, информационных и методических основ проведения </w:t>
      </w:r>
      <w:r>
        <w:rPr>
          <w:rFonts w:eastAsiaTheme="minorEastAsia"/>
          <w:sz w:val="28"/>
          <w:szCs w:val="28"/>
        </w:rPr>
        <w:t>Контрольно-счетным органом 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(далее </w:t>
      </w:r>
      <w:r>
        <w:rPr>
          <w:rFonts w:eastAsiaTheme="minorEastAsia"/>
          <w:sz w:val="28"/>
          <w:szCs w:val="28"/>
        </w:rPr>
        <w:t>Контрольно-счетный орган</w:t>
      </w:r>
      <w:r w:rsidRPr="005E6A53">
        <w:rPr>
          <w:rFonts w:eastAsiaTheme="minorEastAsia"/>
          <w:sz w:val="28"/>
          <w:szCs w:val="28"/>
        </w:rPr>
        <w:t>) комплекса контрольных и экспертно-аналитических мероприятий по проведению внешней проверки бюджетной отчетности главных администраторов бюджетных средств (далее – ГАБС) и подготовке заключения на отчет об исполнении бюджета</w:t>
      </w:r>
      <w:r>
        <w:rPr>
          <w:rFonts w:eastAsiaTheme="minorEastAsia"/>
          <w:sz w:val="28"/>
          <w:szCs w:val="28"/>
        </w:rPr>
        <w:t xml:space="preserve"> Тернов</w:t>
      </w:r>
      <w:r w:rsidRPr="005E6A53">
        <w:rPr>
          <w:rFonts w:eastAsiaTheme="minorEastAsia"/>
          <w:sz w:val="28"/>
          <w:szCs w:val="28"/>
        </w:rPr>
        <w:t>ского муниципального района за отчетный финансовый год (далее – Заключение).</w:t>
      </w:r>
      <w:proofErr w:type="gramEnd"/>
      <w:r w:rsidRPr="005E6A53">
        <w:rPr>
          <w:rFonts w:eastAsiaTheme="minorEastAsia"/>
          <w:sz w:val="28"/>
          <w:szCs w:val="28"/>
        </w:rPr>
        <w:t xml:space="preserve"> Под комплексом контрольных и экспертно-аналитических мероприятий (далее – комплекс мероприятий) в настоящем Стандарте понимается совокупность взаимосвязанных мероприятий, осуществляемых при проведении внешней проверки годовой бюджетной отчетности ГАБС и подготовке Заключения в соответствии с требованиями бюджетного законодательства РФ и Воронежской области.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3.3. Настоящий Стандарт устанавливает: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-основные этапы организации и проведения комплекса мероприятий;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4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-порядок взаимодействия между должностными лиц</w:t>
      </w:r>
      <w:r>
        <w:rPr>
          <w:rFonts w:eastAsiaTheme="minorEastAsia"/>
          <w:sz w:val="28"/>
          <w:szCs w:val="28"/>
        </w:rPr>
        <w:t>ами  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 в ходе проведения комплекса мероприятий;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lastRenderedPageBreak/>
        <w:t xml:space="preserve">- требования к структуре и содержанию Заключения и итоговых документов по результатам внешней проверки бюджетной отчетности ГАБС;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-порядок рассмотрения и утверждения Отчета по результатам внешней проверки бюджетной отчетности ГАБС (далее – Отчет) и  Заключения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>, порядок представления Заключения в Совет народных депутатов с одновременным направлением в администрацию муниципального района.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3.2. Правовые и информационные основы, цель, задачи и объекты внешней проверки годового отчета об исполнении бюджета</w:t>
      </w:r>
      <w:r>
        <w:rPr>
          <w:rFonts w:eastAsiaTheme="minorEastAsia"/>
          <w:sz w:val="28"/>
          <w:szCs w:val="28"/>
        </w:rPr>
        <w:t xml:space="preserve"> Тернов</w:t>
      </w:r>
      <w:r w:rsidRPr="005E6A53">
        <w:rPr>
          <w:rFonts w:eastAsiaTheme="minorEastAsia"/>
          <w:sz w:val="28"/>
          <w:szCs w:val="28"/>
        </w:rPr>
        <w:t>ского муниципального района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3.1. Правовой основой проведения внешней проверки годового отчета об исполнении бюджета 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 являются: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5E6A53">
        <w:rPr>
          <w:rFonts w:eastAsiaTheme="minorEastAsia"/>
          <w:sz w:val="28"/>
          <w:szCs w:val="28"/>
        </w:rPr>
        <w:t xml:space="preserve">- ст. 157, 264.4 Бюджетного кодекса РФ,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78 Положения о бюджетном процессе в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ском муниципальном районе Воронежской области от 31.03.2020г. №62, ст. 8 </w:t>
      </w:r>
      <w:r>
        <w:rPr>
          <w:rFonts w:eastAsiaTheme="minorEastAsia"/>
          <w:sz w:val="28"/>
          <w:szCs w:val="28"/>
        </w:rPr>
        <w:t>Положения о 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и иные нормативные правовые акты Российской Федерации. </w:t>
      </w:r>
      <w:proofErr w:type="gramEnd"/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3.2. Целью комплекса мероприятий является оценка достоверности годового отчета об исполнении бюджета и соответствия требованиям бюджетного законодательства Российской Федерации и Воронежской области процесса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  за отчетный финансовый год.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3.3. Задачи комплекса мероприятий: установление достоверности учета и отчетности об исполнении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района; определение </w:t>
      </w:r>
      <w:proofErr w:type="gramStart"/>
      <w:r w:rsidRPr="005E6A53">
        <w:rPr>
          <w:rFonts w:eastAsiaTheme="minorEastAsia"/>
          <w:sz w:val="28"/>
          <w:szCs w:val="28"/>
        </w:rPr>
        <w:t xml:space="preserve">соответствия процесса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</w:t>
      </w:r>
      <w:proofErr w:type="gramEnd"/>
      <w:r w:rsidRPr="005E6A53">
        <w:rPr>
          <w:rFonts w:eastAsiaTheme="minorEastAsia"/>
          <w:sz w:val="28"/>
          <w:szCs w:val="28"/>
        </w:rPr>
        <w:t xml:space="preserve">  требованиям бюджетного законодательства Российской Федерации и Воронежской области; определение соответствия фактических показателей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показателям, утвержденным решением Совета 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5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народных депутатов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 о районном  бюджете; определение полноты и своевременности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района; комплексная оценка причин неисполнения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и не достижения </w:t>
      </w:r>
      <w:r w:rsidRPr="005E6A53">
        <w:rPr>
          <w:rFonts w:eastAsiaTheme="minorEastAsia"/>
          <w:sz w:val="28"/>
          <w:szCs w:val="28"/>
        </w:rPr>
        <w:lastRenderedPageBreak/>
        <w:t xml:space="preserve">результатов использования средств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района, выявление </w:t>
      </w:r>
      <w:proofErr w:type="gramStart"/>
      <w:r w:rsidRPr="005E6A53">
        <w:rPr>
          <w:rFonts w:eastAsiaTheme="minorEastAsia"/>
          <w:sz w:val="28"/>
          <w:szCs w:val="28"/>
        </w:rPr>
        <w:t xml:space="preserve">резервов повышения эффективности процесса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</w:t>
      </w:r>
      <w:proofErr w:type="gramEnd"/>
      <w:r w:rsidRPr="005E6A53">
        <w:rPr>
          <w:rFonts w:eastAsiaTheme="minorEastAsia"/>
          <w:sz w:val="28"/>
          <w:szCs w:val="28"/>
        </w:rPr>
        <w:t>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3.4. Предметом комплекса мероприятий является процесс и результаты </w:t>
      </w:r>
      <w:proofErr w:type="gramStart"/>
      <w:r w:rsidRPr="005E6A53">
        <w:rPr>
          <w:rFonts w:eastAsiaTheme="minorEastAsia"/>
          <w:sz w:val="28"/>
          <w:szCs w:val="28"/>
        </w:rPr>
        <w:t xml:space="preserve">исполнения решения Совета народных депутатов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</w:t>
      </w:r>
      <w:proofErr w:type="gramEnd"/>
      <w:r w:rsidRPr="005E6A53">
        <w:rPr>
          <w:rFonts w:eastAsiaTheme="minorEastAsia"/>
          <w:sz w:val="28"/>
          <w:szCs w:val="28"/>
        </w:rPr>
        <w:t xml:space="preserve">   о районном  бюджете за отчетный финансовый год.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3.5. Объектами комплекса мероприятий являются финансовый орган и главные администраторы средств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района, при необходимости – иные юридические лица, на которые распространяются полномочия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(получатели бюджетных средств и администраторы доходов бюджета, получатели целевых межбюджетных трансфертов, бюджетных кредитов, субсидий, инвестиций,  государственных гарантий, организации, использующие муниципальное  имущество).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3.6. Информационной основой комплекса мероприятий могут являться: решение Совета народных депутатов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о районном  бюджете на отчетный финансовый год (далее – решение о бюджете) и решения о внесении изменений в бюджет; нормативные правовые акты и иные распорядительные документы, регламентирующие процесс исполнения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района; прогноз поступления доходов, обоснования бюджетных ассигнований, прогнозные показатели источников финансирования дефицита бюджета и другие </w:t>
      </w:r>
      <w:proofErr w:type="gramStart"/>
      <w:r w:rsidRPr="005E6A53">
        <w:rPr>
          <w:rFonts w:eastAsiaTheme="minorEastAsia"/>
          <w:sz w:val="28"/>
          <w:szCs w:val="28"/>
        </w:rPr>
        <w:t>материалы</w:t>
      </w:r>
      <w:proofErr w:type="gramEnd"/>
      <w:r w:rsidRPr="005E6A53">
        <w:rPr>
          <w:rFonts w:eastAsiaTheme="minorEastAsia"/>
          <w:sz w:val="28"/>
          <w:szCs w:val="28"/>
        </w:rPr>
        <w:t xml:space="preserve"> и расчеты, обосновывающие формирование проекта районного бюджета на отчетный финансовый год; сводная бюджетная роспись; первичные документы, подтверждающие операции на счетах по учету доходов, расходов и источников финансирования дефицита областного бюджета, регистры бюджетного учета, финансовая отчетность, подтверждающая совершение операций со средствами областного бюджета; годовая бюджетная отчетность главных администраторов средств областного бюджета; годовая отчетность об исполнении бюджета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 муниципального района; иная отчетность, предусмотренная нормативными правовыми актами Российской Федерации и Воронежской области; реестр 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6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5E6A53">
        <w:rPr>
          <w:rFonts w:eastAsiaTheme="minorEastAsia"/>
          <w:sz w:val="28"/>
          <w:szCs w:val="28"/>
        </w:rPr>
        <w:t xml:space="preserve">расходных обязательств </w:t>
      </w:r>
      <w:r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и реестры расходных обязательств главных администраторов средств бюджета </w:t>
      </w:r>
      <w:r w:rsid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района; нормативные правовые акты об утверждении муниципальных  программ Воронежской области; отчеты о реализации муниципальных программ Воронежской области; доклады о </w:t>
      </w:r>
      <w:r w:rsidRPr="005E6A53">
        <w:rPr>
          <w:rFonts w:eastAsiaTheme="minorEastAsia"/>
          <w:sz w:val="28"/>
          <w:szCs w:val="28"/>
        </w:rPr>
        <w:lastRenderedPageBreak/>
        <w:t xml:space="preserve">результатах и основных направлениях деятельности субъектов бюджетного планирования (ГАБС); заключения </w:t>
      </w:r>
      <w:r w:rsidR="00CD7F8A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на отчеты об исполнении бюджета </w:t>
      </w:r>
      <w:r w:rsid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 за иные отчетные годы;</w:t>
      </w:r>
      <w:proofErr w:type="gramEnd"/>
      <w:r w:rsidRPr="005E6A53">
        <w:rPr>
          <w:rFonts w:eastAsiaTheme="minorEastAsia"/>
          <w:sz w:val="28"/>
          <w:szCs w:val="28"/>
        </w:rPr>
        <w:t xml:space="preserve"> материалы контрольных и экспертно-аналитических мероприятий </w:t>
      </w:r>
      <w:r w:rsidR="00CD7F8A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; информация баз данных </w:t>
      </w:r>
      <w:r w:rsidR="00CD7F8A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; иная информация и документы, характеризующие исполнение бюджета </w:t>
      </w:r>
      <w:r w:rsid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 Организация проведения внешней проверки годового отчета об исполнении бюджета </w:t>
      </w:r>
      <w:r w:rsid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4.1. Комплекс мероприятий предусматривает проведение проверок бюджетной отчетности ГАБС (камеральных или с выходом на объект), а также экспертизу годового отчета об исполнении  бюджета </w:t>
      </w:r>
      <w:r w:rsid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4.2. </w:t>
      </w:r>
      <w:proofErr w:type="gramStart"/>
      <w:r w:rsidRPr="005E6A53">
        <w:rPr>
          <w:rFonts w:eastAsiaTheme="minorEastAsia"/>
          <w:sz w:val="28"/>
          <w:szCs w:val="28"/>
        </w:rPr>
        <w:t xml:space="preserve">Внешняя проверка бюджетной отчетности ГАБС и подготовка Заключения включаются в годовой план работы </w:t>
      </w:r>
      <w:r w:rsidR="00CD7F8A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на основании статьи 264.4 Бюджетного кодекса РФ, ст. </w:t>
      </w:r>
      <w:r w:rsidR="00CD7F8A" w:rsidRPr="00CD7F8A">
        <w:rPr>
          <w:rFonts w:eastAsiaTheme="minorEastAsia"/>
          <w:sz w:val="28"/>
          <w:szCs w:val="28"/>
        </w:rPr>
        <w:t>77</w:t>
      </w:r>
      <w:r w:rsidRPr="005E6A53">
        <w:rPr>
          <w:rFonts w:eastAsiaTheme="minorEastAsia"/>
          <w:sz w:val="28"/>
          <w:szCs w:val="28"/>
        </w:rPr>
        <w:t xml:space="preserve"> Положения о бюджетном процессе в  </w:t>
      </w:r>
      <w:r w:rsidR="00CD7F8A" w:rsidRP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ском муниципальном </w:t>
      </w:r>
      <w:r w:rsidR="00CD7F8A" w:rsidRPr="00CD7F8A">
        <w:rPr>
          <w:rFonts w:eastAsiaTheme="minorEastAsia"/>
          <w:sz w:val="28"/>
          <w:szCs w:val="28"/>
        </w:rPr>
        <w:t>районе Воронежской области от 05.06.2014г. №95</w:t>
      </w:r>
      <w:r w:rsidRPr="005E6A53">
        <w:rPr>
          <w:rFonts w:eastAsiaTheme="minorEastAsia"/>
          <w:sz w:val="28"/>
          <w:szCs w:val="28"/>
        </w:rPr>
        <w:t xml:space="preserve">, ст. 8 </w:t>
      </w:r>
      <w:r w:rsidR="00CD7F8A" w:rsidRPr="00CD7F8A">
        <w:rPr>
          <w:rFonts w:eastAsiaTheme="minorEastAsia"/>
          <w:sz w:val="28"/>
          <w:szCs w:val="28"/>
        </w:rPr>
        <w:t>Положения о 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</w:t>
      </w:r>
      <w:r w:rsidR="00CD7F8A" w:rsidRPr="00CD7F8A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  и иные нормативные правовые акты Российской Федерации.</w:t>
      </w:r>
      <w:proofErr w:type="gramEnd"/>
      <w:r w:rsidRPr="005E6A53">
        <w:rPr>
          <w:rFonts w:eastAsiaTheme="minorEastAsia"/>
          <w:sz w:val="28"/>
          <w:szCs w:val="28"/>
        </w:rPr>
        <w:t xml:space="preserve"> Сроки проведения комплекса мероприятий по подготовке и утверждению Заключения устанавливаются согласно требованиям действующего законодательства.</w:t>
      </w:r>
      <w:r w:rsidR="003A2890">
        <w:rPr>
          <w:rFonts w:eastAsiaTheme="minorEastAsia"/>
          <w:sz w:val="28"/>
          <w:szCs w:val="28"/>
        </w:rPr>
        <w:t xml:space="preserve">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4.3. Организацию и координацию проведения комплекса мероприятий, а также подготовку Отчета и Заключения осуществляет председатель и старший инспектор. Ответственными за проведение внешней проверки бюджетной отчетности ГАБС и подготовку разделов Заключения по закрепленным в соответствии с Регламентом </w:t>
      </w:r>
      <w:r w:rsidR="000C2117" w:rsidRPr="000C2117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направлениям деятельности и объектам проверок являются председатель и старший инспектор.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7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4.4. Комплекс мероприятий осуществляется в три этапа: подготовительный; основной; заключительный.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4.5.На подготовительном этапе </w:t>
      </w:r>
      <w:r w:rsidR="000C2117">
        <w:rPr>
          <w:rFonts w:eastAsiaTheme="minorEastAsia"/>
          <w:sz w:val="28"/>
          <w:szCs w:val="28"/>
        </w:rPr>
        <w:t>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 для экспертно-аналитической работы: – подготавливает и рассылает уведомления о проведении внешней проверки годового отчета об исполнении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и запросы ГАБС на предоставление </w:t>
      </w:r>
      <w:r w:rsidRPr="005E6A53">
        <w:rPr>
          <w:rFonts w:eastAsiaTheme="minorEastAsia"/>
          <w:sz w:val="28"/>
          <w:szCs w:val="28"/>
        </w:rPr>
        <w:lastRenderedPageBreak/>
        <w:t xml:space="preserve">бюджетной отчетности и другой необходимой информации. До 1 апреля обеспечивает поступление и передачу запрошенной информации в </w:t>
      </w:r>
      <w:r w:rsidR="000C2117">
        <w:rPr>
          <w:rFonts w:eastAsiaTheme="minorEastAsia"/>
          <w:sz w:val="28"/>
          <w:szCs w:val="28"/>
        </w:rPr>
        <w:t>Контрольно-счетный орган</w:t>
      </w:r>
      <w:r w:rsidRPr="005E6A53">
        <w:rPr>
          <w:rFonts w:eastAsiaTheme="minorEastAsia"/>
          <w:sz w:val="28"/>
          <w:szCs w:val="28"/>
        </w:rPr>
        <w:t xml:space="preserve"> по закрепленным направлениям деятельности и объектам контроля; – до 1 апреля оформляет и представляет на утверждение проведении внешней проверки годового отчета об исполнении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 муниципального района.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4.6. В ходе основного этапа комплекса мероприятий председателем и старшим инспектором проводится внешняя проверка бюджетной отчетности ГАБС и подготовка разделов Заключения по закрепленным направлениям деятельности и объектам контроля. По результатам данной работы председатель  и старший инспектором  до 30 апреля готовят заключение   выводы и, при необходимости, иную информацию, отраженную в Отчете, включают в Заключение; до 01 мая – Заключение. Подготовленное Заключение, визируется  председателем.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4.7. На заключительном этапе комплекса мероприятий Заключение рассматривается и утверждается </w:t>
      </w:r>
      <w:r w:rsidR="000C2117">
        <w:rPr>
          <w:rFonts w:eastAsiaTheme="minorEastAsia"/>
          <w:sz w:val="28"/>
          <w:szCs w:val="28"/>
        </w:rPr>
        <w:t>Контрольно-счетным органом</w:t>
      </w:r>
      <w:r w:rsidRPr="005E6A53">
        <w:rPr>
          <w:rFonts w:eastAsiaTheme="minorEastAsia"/>
          <w:sz w:val="28"/>
          <w:szCs w:val="28"/>
        </w:rPr>
        <w:t>. В соответствии с По</w:t>
      </w:r>
      <w:r w:rsidR="000C2117">
        <w:rPr>
          <w:rFonts w:eastAsiaTheme="minorEastAsia"/>
          <w:sz w:val="28"/>
          <w:szCs w:val="28"/>
        </w:rPr>
        <w:t>ложением о Контрольно-счетного органа</w:t>
      </w:r>
      <w:r w:rsidRPr="005E6A53">
        <w:rPr>
          <w:rFonts w:eastAsiaTheme="minorEastAsia"/>
          <w:sz w:val="28"/>
          <w:szCs w:val="28"/>
        </w:rPr>
        <w:t xml:space="preserve">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района. Подготовленное Заключение не позднее 1 мая текущего года направляется </w:t>
      </w:r>
      <w:proofErr w:type="gramStart"/>
      <w:r w:rsidRPr="005E6A53">
        <w:rPr>
          <w:rFonts w:eastAsiaTheme="minorEastAsia"/>
          <w:sz w:val="28"/>
          <w:szCs w:val="28"/>
        </w:rPr>
        <w:t>в Совет народных депутатов с одновременным направлением в администрацию муниципального района по результатам внешней проверки годового отчета об исполнении</w:t>
      </w:r>
      <w:proofErr w:type="gramEnd"/>
      <w:r w:rsidRPr="005E6A53">
        <w:rPr>
          <w:rFonts w:eastAsiaTheme="minorEastAsia"/>
          <w:sz w:val="28"/>
          <w:szCs w:val="28"/>
        </w:rPr>
        <w:t xml:space="preserve">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района. 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5. Содержание и структура документов, оформляемых по результатам внешней проверки бюджетной отчетности ГАБС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5.1. В ходе проведения внешней проверки бюджетной отчетности ГАБС следует сформировать обоснованное мнение о наличии или отсутствии существенных фактов неполноты и (или) недостоверности их бюджетной 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8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отчетности. 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 отсутствие 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показателей). Степень достоверности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</w:t>
      </w:r>
      <w:r w:rsidRPr="005E6A53">
        <w:rPr>
          <w:rFonts w:eastAsiaTheme="minorEastAsia"/>
          <w:sz w:val="28"/>
          <w:szCs w:val="28"/>
        </w:rPr>
        <w:lastRenderedPageBreak/>
        <w:t>указанных показателей значениям, определенным в соответствии с порядком составления отчетности и ведения учета. Основное внимание следует уделять отчетности ГАБС, с наибольшим количеством и стоимостью объектов учета, с наибольшим по стоимостной оценке объемом хозяйственных операций, а также объектам и операциям с высоким риском недостоверного отражения.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5.2. </w:t>
      </w:r>
      <w:proofErr w:type="gramStart"/>
      <w:r w:rsidRPr="005E6A53">
        <w:rPr>
          <w:rFonts w:eastAsiaTheme="minorEastAsia"/>
          <w:sz w:val="28"/>
          <w:szCs w:val="28"/>
        </w:rPr>
        <w:t xml:space="preserve">При проверке исполнения бюджета ГАБС по данным бюджетной отчетности следует проанализировать следующие аспекты деятельности: исполнение доходов, закрепленных за администратором доходов; использование бюджетных ассигнований; причины не освоения бюджетных ассигнований; исполнение текстовых статей  решения  о районном бюджете на отчетный финансовый год; иные аспекты, в том числе состояние внутреннего финансового контроля, а также принятые меры по повышению эффективности расходования бюджетных средств. </w:t>
      </w:r>
      <w:proofErr w:type="gramEnd"/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5.3. Результаты контрольного мероприятия оформляются справкой (актом). Примерная структура справки (акта) по результатам внешней проверки бюджетной отчетности ГАБС может включать следующие разделы: 1) общие положения: должностные лица, несущие ответственность за подготовку и представление бюджетной отчетности, сроки представления отчетности; </w:t>
      </w:r>
      <w:proofErr w:type="gramStart"/>
      <w:r w:rsidRPr="005E6A53">
        <w:rPr>
          <w:rFonts w:eastAsiaTheme="minorEastAsia"/>
          <w:sz w:val="28"/>
          <w:szCs w:val="28"/>
        </w:rPr>
        <w:t>2) организационно-правовые основы деятельности: основания осуществления деятельности, цели и задачи, организационная структура, количество подведомственных учреждений и т.д.; 3) результаты проверки отчетности, в том числе: плановое и фактическое исполнение доходов ГАБС (в разрезе групп, подгрупп, статей и подстатей классификации доходов); плановое и фактическое исполнение расходов ГАБС (в разрезе разделов, подразделов классификации расходов);</w:t>
      </w:r>
      <w:proofErr w:type="gramEnd"/>
      <w:r w:rsidRPr="005E6A53">
        <w:rPr>
          <w:rFonts w:eastAsiaTheme="minorEastAsia"/>
          <w:sz w:val="28"/>
          <w:szCs w:val="28"/>
        </w:rPr>
        <w:t xml:space="preserve"> информация о наличии/отсутствии фактов неполноты бюджетной отчетности с указанием причин и последствий; 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9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информация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 информация о прозрачности и информативности бюджетной отчетности;  информация о наличии/отсутствии фактов нарушения бюджетного законодательства с указанием причин и последствий; информация о мерах по повышению эффективности расходования бюджетных средств (по возможности); информация об исполнении муниципальных программ (в том числе о финансовом исполнении и достижении натуральных показателей); 4) выводы по итогам оценки полноты и достоверности бюджетной отчетности, по соблюдению порядка ее составления и представления. В необходимых случаях готовятся предложения, в том числе </w:t>
      </w:r>
      <w:r w:rsidRPr="005E6A53">
        <w:rPr>
          <w:rFonts w:eastAsiaTheme="minorEastAsia"/>
          <w:sz w:val="28"/>
          <w:szCs w:val="28"/>
        </w:rPr>
        <w:lastRenderedPageBreak/>
        <w:t>по совершенствованию порядка (методологии) ведения учета, составления отчетности, осуществления внутреннего финансового контроля и аудита. В отчете по результатам внешней проверки бюджетной отчетности ГАБС указывается: кем и когда утвержден отчет; номер отчета по следующему формату: «номер пункта плана» – «текущий год»; наименование контрольного мероприятия в соответствии с утвержденным планом работы; основание для проведения мероприятия; цел</w:t>
      </w:r>
      <w:proofErr w:type="gramStart"/>
      <w:r w:rsidRPr="005E6A53">
        <w:rPr>
          <w:rFonts w:eastAsiaTheme="minorEastAsia"/>
          <w:sz w:val="28"/>
          <w:szCs w:val="28"/>
        </w:rPr>
        <w:t>ь(</w:t>
      </w:r>
      <w:proofErr w:type="gramEnd"/>
      <w:r w:rsidRPr="005E6A53">
        <w:rPr>
          <w:rFonts w:eastAsiaTheme="minorEastAsia"/>
          <w:sz w:val="28"/>
          <w:szCs w:val="28"/>
        </w:rPr>
        <w:t xml:space="preserve">-и) мероприятия; перечень проверенных объектов и оформленных справок (актов); сроки проведения мероприятия; вопросы внешней проверки бюджетной отчетности ГАБС; результаты внешней проверки бюджетной отчетности ГАБС; выводы; информация о направленных представлениях (предписаниях), информационных письмах, уведомлениях о применении бюджетных мер принуждения, передаче материалов в правоохранительные органы др. (если они направлены до составления отчета), либо предложения об их направлении.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6. Содержание и структура Заключения на отчет об исполнении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за отчетный финансовый год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6.1. Заключение формируется по итогам внешней проверки отчета об исполнении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района. </w:t>
      </w:r>
      <w:proofErr w:type="gramStart"/>
      <w:r w:rsidRPr="005E6A53">
        <w:rPr>
          <w:rFonts w:eastAsiaTheme="minorEastAsia"/>
          <w:sz w:val="28"/>
          <w:szCs w:val="28"/>
        </w:rPr>
        <w:t xml:space="preserve">В ходе внешней проверки отчета производится: анализ социально-экономических условий и результатов исполнения областного бюджета, макроэкономических факторов, существенно повлиявшие на исполнение бюджета (динамика производства товаров, работ, услуг, налогооблагаемой базы, состояние финансового рынка и т.д.), а также основных социально-экономических результатов исполнения бюджета (влияние на уровень </w:t>
      </w:r>
      <w:proofErr w:type="gramEnd"/>
    </w:p>
    <w:p w:rsidR="005E6A53" w:rsidRPr="005E6A53" w:rsidRDefault="005E6A53" w:rsidP="005E6A53">
      <w:pPr>
        <w:tabs>
          <w:tab w:val="left" w:pos="5280"/>
        </w:tabs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10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5E6A53">
        <w:rPr>
          <w:rFonts w:eastAsiaTheme="minorEastAsia"/>
          <w:sz w:val="28"/>
          <w:szCs w:val="28"/>
        </w:rPr>
        <w:t>доходов населения, состояние инфраструктуры, инвестиционную и производственную деятельность и т.п.);  оценка соответствия отчета об исполнении бюджета бюджетному законодательству, полноты выполнения текстовых статей закона об областном бюджете, соответствия сводной бюджетной росписи закону о бюджете, вопросов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</w:r>
      <w:proofErr w:type="gramEnd"/>
      <w:r w:rsidRPr="005E6A53">
        <w:rPr>
          <w:rFonts w:eastAsiaTheme="minorEastAsia"/>
          <w:sz w:val="28"/>
          <w:szCs w:val="28"/>
        </w:rPr>
        <w:t xml:space="preserve"> </w:t>
      </w:r>
      <w:proofErr w:type="gramStart"/>
      <w:r w:rsidRPr="005E6A53">
        <w:rPr>
          <w:rFonts w:eastAsiaTheme="minorEastAsia"/>
          <w:sz w:val="28"/>
          <w:szCs w:val="28"/>
        </w:rPr>
        <w:t xml:space="preserve">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процедур; в зависимости от экономической и правовой природы бюджетных назначений анализируется соблюдение и (или) достижение (выполнение) бюджетных назначений (в том числе предельных) по доходам, расходам, </w:t>
      </w:r>
      <w:r w:rsidRPr="005E6A53">
        <w:rPr>
          <w:rFonts w:eastAsiaTheme="minorEastAsia"/>
          <w:sz w:val="28"/>
          <w:szCs w:val="28"/>
        </w:rPr>
        <w:lastRenderedPageBreak/>
        <w:t>источникам финансирования дефицита, объему заимствований, государственного долга, бюджетных кредитов и гарантий.</w:t>
      </w:r>
      <w:proofErr w:type="gramEnd"/>
      <w:r w:rsidRPr="005E6A53">
        <w:rPr>
          <w:rFonts w:eastAsiaTheme="minorEastAsia"/>
          <w:sz w:val="28"/>
          <w:szCs w:val="28"/>
        </w:rPr>
        <w:t xml:space="preserve"> Процент исполнения бюджетных ассигнований, достижение целевых показателей государственных (муниципальных) и ведомственных целевых программ </w:t>
      </w:r>
      <w:proofErr w:type="spellStart"/>
      <w:r w:rsidRPr="005E6A53">
        <w:rPr>
          <w:rFonts w:eastAsiaTheme="minorEastAsia"/>
          <w:sz w:val="28"/>
          <w:szCs w:val="28"/>
        </w:rPr>
        <w:t>Острогожского</w:t>
      </w:r>
      <w:proofErr w:type="spellEnd"/>
      <w:r w:rsidRPr="005E6A53">
        <w:rPr>
          <w:rFonts w:eastAsiaTheme="minorEastAsia"/>
          <w:sz w:val="28"/>
          <w:szCs w:val="28"/>
        </w:rPr>
        <w:t xml:space="preserve"> муниципального района рассматриваются как индикаторы достижения установленных результатов бюджетной деятельности и степени ее эффективности. При анализе отдельных видов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6.2. В Заключении отражаются все установленные факты несоответствия годового отчета об исполнении бюджета 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  и бюджетной отчетности ГАБС нормативным правовым актам, факты неполноты и недостоверности показателей годового отчета об исполнении бюджета и бюджетной отчетности ГАБС, исходя из их существенности. Существенными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бюджета изменится более чем на 5%. </w:t>
      </w:r>
    </w:p>
    <w:p w:rsidR="005E6A53" w:rsidRPr="005E6A53" w:rsidRDefault="005E6A53" w:rsidP="005E6A53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>11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6.3.Заключение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стороны исполнения бюджета.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E6A53">
        <w:rPr>
          <w:rFonts w:eastAsiaTheme="minorEastAsia"/>
          <w:sz w:val="28"/>
          <w:szCs w:val="28"/>
        </w:rPr>
        <w:t xml:space="preserve">6.4. </w:t>
      </w:r>
      <w:proofErr w:type="gramStart"/>
      <w:r w:rsidRPr="005E6A53">
        <w:rPr>
          <w:rFonts w:eastAsiaTheme="minorEastAsia"/>
          <w:sz w:val="28"/>
          <w:szCs w:val="28"/>
        </w:rPr>
        <w:t xml:space="preserve">Примерная структура Заключения может включать следующие разделы: общие положения (сроки и полнота представления документов, источники информации для Заключения и т.д.); анализ реализации целей и приоритетов, определенных документами стратегического планирования социально-экономического развития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 xml:space="preserve">ского муниципального района; общая характеристика исполнения  бюджета </w:t>
      </w:r>
      <w:r w:rsidR="000C2117">
        <w:rPr>
          <w:rFonts w:eastAsiaTheme="minorEastAsia"/>
          <w:sz w:val="28"/>
          <w:szCs w:val="28"/>
        </w:rPr>
        <w:t>Тернов</w:t>
      </w:r>
      <w:r w:rsidRPr="005E6A53">
        <w:rPr>
          <w:rFonts w:eastAsiaTheme="minorEastAsia"/>
          <w:sz w:val="28"/>
          <w:szCs w:val="28"/>
        </w:rPr>
        <w:t>ского муниципального района  и состояния государственного долга области (доходов, расходов, дефицита (профицита) бюджета и источников его финансирования, государственного долга);</w:t>
      </w:r>
      <w:proofErr w:type="gramEnd"/>
      <w:r w:rsidRPr="005E6A53">
        <w:rPr>
          <w:rFonts w:eastAsiaTheme="minorEastAsia"/>
          <w:sz w:val="28"/>
          <w:szCs w:val="28"/>
        </w:rPr>
        <w:t xml:space="preserve"> исполнение доходной части бюджета (в разрезе классификации доходов </w:t>
      </w:r>
      <w:r w:rsidRPr="005E6A53">
        <w:rPr>
          <w:rFonts w:eastAsiaTheme="minorEastAsia"/>
          <w:sz w:val="28"/>
          <w:szCs w:val="28"/>
        </w:rPr>
        <w:lastRenderedPageBreak/>
        <w:t xml:space="preserve">бюджетов РФ по видам доходов, эффективность управления областной собственностью); исполнение расходной части бюджета (анализ исполнения расходной части может производиться в разрезе классификации расходов бюджетов РФ, главных распорядителей средств областного бюджета, государственных программ и т.д.); предоставление и возврат бюджетных кредитов областного бюджета; анализ исполнения областной адресной инвестиционной программы и не программных бюджетных инвестиций; выводы; предложения (при необходимости) по совершенствованию бюджетного процесса, нормативно-правовых актов, использования имущества, ведения бюджетного учета и составления бюджетной отчетности, по повышению эффективности использования бюджетных средств. При необходимости в Заключение включаются иные разделы и приложения. Конкретная структура Заключения определяется организационно-распорядительными документами, подготавливаемыми в соответствии с п. 4.5 настоящего Стандарта. </w:t>
      </w: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E6A53" w:rsidRPr="005E6A53" w:rsidRDefault="005E6A53" w:rsidP="005E6A5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F21087" w:rsidRDefault="00F21087" w:rsidP="00F21087">
      <w:pPr>
        <w:pStyle w:val="a3"/>
        <w:jc w:val="right"/>
      </w:pPr>
    </w:p>
    <w:p w:rsidR="005E6A53" w:rsidRDefault="005E6A53" w:rsidP="00F21087">
      <w:pPr>
        <w:pStyle w:val="a3"/>
        <w:jc w:val="right"/>
      </w:pPr>
    </w:p>
    <w:p w:rsidR="00F55653" w:rsidRDefault="00F55653" w:rsidP="002D096A">
      <w:pPr>
        <w:pStyle w:val="a3"/>
        <w:jc w:val="right"/>
      </w:pPr>
    </w:p>
    <w:sectPr w:rsidR="00F55653" w:rsidSect="009947CC">
      <w:footerReference w:type="even" r:id="rId10"/>
      <w:foot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E2" w:rsidRDefault="00CD27E2">
      <w:r>
        <w:separator/>
      </w:r>
    </w:p>
  </w:endnote>
  <w:endnote w:type="continuationSeparator" w:id="0">
    <w:p w:rsidR="00CD27E2" w:rsidRDefault="00CD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DF" w:rsidRDefault="00390ADF" w:rsidP="00BC28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ADF" w:rsidRDefault="00390ADF" w:rsidP="00A11E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DF" w:rsidRDefault="00390ADF" w:rsidP="00BC28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225F">
      <w:rPr>
        <w:rStyle w:val="a6"/>
        <w:noProof/>
      </w:rPr>
      <w:t>11</w:t>
    </w:r>
    <w:r>
      <w:rPr>
        <w:rStyle w:val="a6"/>
      </w:rPr>
      <w:fldChar w:fldCharType="end"/>
    </w:r>
  </w:p>
  <w:p w:rsidR="00390ADF" w:rsidRDefault="00390ADF" w:rsidP="00A11E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E2" w:rsidRDefault="00CD27E2">
      <w:r>
        <w:separator/>
      </w:r>
    </w:p>
  </w:footnote>
  <w:footnote w:type="continuationSeparator" w:id="0">
    <w:p w:rsidR="00CD27E2" w:rsidRDefault="00CD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0B7"/>
    <w:multiLevelType w:val="hybridMultilevel"/>
    <w:tmpl w:val="5CBC0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87"/>
    <w:rsid w:val="00001635"/>
    <w:rsid w:val="0002282D"/>
    <w:rsid w:val="00026B39"/>
    <w:rsid w:val="0003076E"/>
    <w:rsid w:val="000343B6"/>
    <w:rsid w:val="000538EE"/>
    <w:rsid w:val="00055E5D"/>
    <w:rsid w:val="00087311"/>
    <w:rsid w:val="00093BB8"/>
    <w:rsid w:val="000A1958"/>
    <w:rsid w:val="000C2117"/>
    <w:rsid w:val="000C5BE2"/>
    <w:rsid w:val="000D736D"/>
    <w:rsid w:val="000E09C5"/>
    <w:rsid w:val="000E2E70"/>
    <w:rsid w:val="000F0B9D"/>
    <w:rsid w:val="0011240A"/>
    <w:rsid w:val="00134D10"/>
    <w:rsid w:val="0014520E"/>
    <w:rsid w:val="00165C38"/>
    <w:rsid w:val="00180448"/>
    <w:rsid w:val="00190030"/>
    <w:rsid w:val="00194E86"/>
    <w:rsid w:val="001975A0"/>
    <w:rsid w:val="001C46D4"/>
    <w:rsid w:val="001C594C"/>
    <w:rsid w:val="001F60A1"/>
    <w:rsid w:val="0020473C"/>
    <w:rsid w:val="002244CB"/>
    <w:rsid w:val="002478A1"/>
    <w:rsid w:val="0024798F"/>
    <w:rsid w:val="00256B6F"/>
    <w:rsid w:val="0027515B"/>
    <w:rsid w:val="00275C11"/>
    <w:rsid w:val="00286D39"/>
    <w:rsid w:val="00296652"/>
    <w:rsid w:val="002A3F94"/>
    <w:rsid w:val="002A6882"/>
    <w:rsid w:val="002C4211"/>
    <w:rsid w:val="002C663B"/>
    <w:rsid w:val="002D096A"/>
    <w:rsid w:val="002D09A4"/>
    <w:rsid w:val="002D4DD1"/>
    <w:rsid w:val="002E4898"/>
    <w:rsid w:val="002E5919"/>
    <w:rsid w:val="002F782A"/>
    <w:rsid w:val="0032252C"/>
    <w:rsid w:val="00331F2E"/>
    <w:rsid w:val="00340BDF"/>
    <w:rsid w:val="00347D06"/>
    <w:rsid w:val="00353EF2"/>
    <w:rsid w:val="00354C26"/>
    <w:rsid w:val="00363B0C"/>
    <w:rsid w:val="00380393"/>
    <w:rsid w:val="00390ADF"/>
    <w:rsid w:val="00390F9E"/>
    <w:rsid w:val="003A2890"/>
    <w:rsid w:val="003B025C"/>
    <w:rsid w:val="003C327C"/>
    <w:rsid w:val="003C6EDA"/>
    <w:rsid w:val="003E2130"/>
    <w:rsid w:val="003E4EA2"/>
    <w:rsid w:val="004071B3"/>
    <w:rsid w:val="00411E7E"/>
    <w:rsid w:val="00412482"/>
    <w:rsid w:val="00420271"/>
    <w:rsid w:val="00420586"/>
    <w:rsid w:val="0044731A"/>
    <w:rsid w:val="004550E3"/>
    <w:rsid w:val="00456136"/>
    <w:rsid w:val="00456FD9"/>
    <w:rsid w:val="00467309"/>
    <w:rsid w:val="00481E86"/>
    <w:rsid w:val="0048461D"/>
    <w:rsid w:val="004866D7"/>
    <w:rsid w:val="0049536B"/>
    <w:rsid w:val="004B7490"/>
    <w:rsid w:val="004C27DC"/>
    <w:rsid w:val="004C72E4"/>
    <w:rsid w:val="004D2713"/>
    <w:rsid w:val="004D6320"/>
    <w:rsid w:val="004D7E2A"/>
    <w:rsid w:val="004E3C18"/>
    <w:rsid w:val="004F4C7D"/>
    <w:rsid w:val="004F71DA"/>
    <w:rsid w:val="00501889"/>
    <w:rsid w:val="005020ED"/>
    <w:rsid w:val="00510714"/>
    <w:rsid w:val="00517143"/>
    <w:rsid w:val="00535F95"/>
    <w:rsid w:val="0055003B"/>
    <w:rsid w:val="00564BDF"/>
    <w:rsid w:val="00572776"/>
    <w:rsid w:val="00573068"/>
    <w:rsid w:val="005777E8"/>
    <w:rsid w:val="005845BC"/>
    <w:rsid w:val="00597DF5"/>
    <w:rsid w:val="005A0EF4"/>
    <w:rsid w:val="005A7807"/>
    <w:rsid w:val="005B10FC"/>
    <w:rsid w:val="005D47BD"/>
    <w:rsid w:val="005E1CE3"/>
    <w:rsid w:val="005E3365"/>
    <w:rsid w:val="005E36CB"/>
    <w:rsid w:val="005E6A53"/>
    <w:rsid w:val="005E73ED"/>
    <w:rsid w:val="005F1427"/>
    <w:rsid w:val="006022B8"/>
    <w:rsid w:val="0060352A"/>
    <w:rsid w:val="0061103A"/>
    <w:rsid w:val="00615685"/>
    <w:rsid w:val="00624030"/>
    <w:rsid w:val="00624901"/>
    <w:rsid w:val="00644A2E"/>
    <w:rsid w:val="00651740"/>
    <w:rsid w:val="00655184"/>
    <w:rsid w:val="00666432"/>
    <w:rsid w:val="00681631"/>
    <w:rsid w:val="006919C6"/>
    <w:rsid w:val="00691C70"/>
    <w:rsid w:val="00697B0A"/>
    <w:rsid w:val="006A4343"/>
    <w:rsid w:val="006A5A2B"/>
    <w:rsid w:val="006B6A4E"/>
    <w:rsid w:val="006C10B0"/>
    <w:rsid w:val="006C2525"/>
    <w:rsid w:val="006C64E1"/>
    <w:rsid w:val="006E7269"/>
    <w:rsid w:val="006F6E8A"/>
    <w:rsid w:val="00706F14"/>
    <w:rsid w:val="0070782D"/>
    <w:rsid w:val="00715736"/>
    <w:rsid w:val="00731411"/>
    <w:rsid w:val="007415D0"/>
    <w:rsid w:val="00747FB0"/>
    <w:rsid w:val="00754BC7"/>
    <w:rsid w:val="0075796D"/>
    <w:rsid w:val="00761577"/>
    <w:rsid w:val="00765A49"/>
    <w:rsid w:val="007724C4"/>
    <w:rsid w:val="00776509"/>
    <w:rsid w:val="00787477"/>
    <w:rsid w:val="007930A1"/>
    <w:rsid w:val="007952BE"/>
    <w:rsid w:val="007A63F5"/>
    <w:rsid w:val="007B7EEE"/>
    <w:rsid w:val="007D4708"/>
    <w:rsid w:val="007D4839"/>
    <w:rsid w:val="00816C69"/>
    <w:rsid w:val="00843892"/>
    <w:rsid w:val="00881092"/>
    <w:rsid w:val="00882548"/>
    <w:rsid w:val="008A58B3"/>
    <w:rsid w:val="008C2F03"/>
    <w:rsid w:val="008D3A74"/>
    <w:rsid w:val="008E1AF4"/>
    <w:rsid w:val="008E59DC"/>
    <w:rsid w:val="008F1FBB"/>
    <w:rsid w:val="00913C3F"/>
    <w:rsid w:val="009209D5"/>
    <w:rsid w:val="00921871"/>
    <w:rsid w:val="009329FB"/>
    <w:rsid w:val="009345C4"/>
    <w:rsid w:val="0094037C"/>
    <w:rsid w:val="009475D4"/>
    <w:rsid w:val="00961AF7"/>
    <w:rsid w:val="00962770"/>
    <w:rsid w:val="00975006"/>
    <w:rsid w:val="009771B4"/>
    <w:rsid w:val="00977772"/>
    <w:rsid w:val="009809D3"/>
    <w:rsid w:val="00993B27"/>
    <w:rsid w:val="009947CC"/>
    <w:rsid w:val="009A0DF5"/>
    <w:rsid w:val="009D6EC3"/>
    <w:rsid w:val="009E403A"/>
    <w:rsid w:val="009E5611"/>
    <w:rsid w:val="009F173C"/>
    <w:rsid w:val="009F718A"/>
    <w:rsid w:val="00A05E99"/>
    <w:rsid w:val="00A11E04"/>
    <w:rsid w:val="00A16EAE"/>
    <w:rsid w:val="00A21FB3"/>
    <w:rsid w:val="00A22AC9"/>
    <w:rsid w:val="00A237D1"/>
    <w:rsid w:val="00A2393E"/>
    <w:rsid w:val="00A32380"/>
    <w:rsid w:val="00A35A44"/>
    <w:rsid w:val="00A37DCF"/>
    <w:rsid w:val="00A461C0"/>
    <w:rsid w:val="00A50D88"/>
    <w:rsid w:val="00A52612"/>
    <w:rsid w:val="00A52C8B"/>
    <w:rsid w:val="00A5392D"/>
    <w:rsid w:val="00A72958"/>
    <w:rsid w:val="00A75FE9"/>
    <w:rsid w:val="00A774B2"/>
    <w:rsid w:val="00A8225F"/>
    <w:rsid w:val="00A96F42"/>
    <w:rsid w:val="00AA130A"/>
    <w:rsid w:val="00AB330C"/>
    <w:rsid w:val="00AD1BE5"/>
    <w:rsid w:val="00AE4105"/>
    <w:rsid w:val="00AF22F9"/>
    <w:rsid w:val="00B04C2E"/>
    <w:rsid w:val="00B22689"/>
    <w:rsid w:val="00B24AEF"/>
    <w:rsid w:val="00B41A9F"/>
    <w:rsid w:val="00B4633F"/>
    <w:rsid w:val="00B55017"/>
    <w:rsid w:val="00B60024"/>
    <w:rsid w:val="00B65E63"/>
    <w:rsid w:val="00B813CF"/>
    <w:rsid w:val="00B93032"/>
    <w:rsid w:val="00BA453A"/>
    <w:rsid w:val="00BA47AD"/>
    <w:rsid w:val="00BB69AE"/>
    <w:rsid w:val="00BB6E38"/>
    <w:rsid w:val="00BC28F7"/>
    <w:rsid w:val="00BC525C"/>
    <w:rsid w:val="00BD5309"/>
    <w:rsid w:val="00BE28BE"/>
    <w:rsid w:val="00BF2EFF"/>
    <w:rsid w:val="00BF60CE"/>
    <w:rsid w:val="00C126B9"/>
    <w:rsid w:val="00C1756D"/>
    <w:rsid w:val="00C17FDC"/>
    <w:rsid w:val="00C21881"/>
    <w:rsid w:val="00C23F41"/>
    <w:rsid w:val="00C312EE"/>
    <w:rsid w:val="00C327A9"/>
    <w:rsid w:val="00C34FB5"/>
    <w:rsid w:val="00C37DEF"/>
    <w:rsid w:val="00C439E3"/>
    <w:rsid w:val="00C43DE3"/>
    <w:rsid w:val="00C76DA4"/>
    <w:rsid w:val="00C8399C"/>
    <w:rsid w:val="00CA12FC"/>
    <w:rsid w:val="00CA142E"/>
    <w:rsid w:val="00CA7663"/>
    <w:rsid w:val="00CC3603"/>
    <w:rsid w:val="00CC4748"/>
    <w:rsid w:val="00CD27E2"/>
    <w:rsid w:val="00CD322D"/>
    <w:rsid w:val="00CD4C9D"/>
    <w:rsid w:val="00CD5FF5"/>
    <w:rsid w:val="00CD7F8A"/>
    <w:rsid w:val="00CE2DFF"/>
    <w:rsid w:val="00D10D48"/>
    <w:rsid w:val="00D11070"/>
    <w:rsid w:val="00D22004"/>
    <w:rsid w:val="00D22018"/>
    <w:rsid w:val="00D2578E"/>
    <w:rsid w:val="00D30CCD"/>
    <w:rsid w:val="00D36FC3"/>
    <w:rsid w:val="00D41BC5"/>
    <w:rsid w:val="00D57C67"/>
    <w:rsid w:val="00D6200B"/>
    <w:rsid w:val="00D67FF8"/>
    <w:rsid w:val="00D70D97"/>
    <w:rsid w:val="00D77BC3"/>
    <w:rsid w:val="00D80DCF"/>
    <w:rsid w:val="00D81119"/>
    <w:rsid w:val="00D8168A"/>
    <w:rsid w:val="00D9426D"/>
    <w:rsid w:val="00DA120D"/>
    <w:rsid w:val="00DA6B9E"/>
    <w:rsid w:val="00DB1974"/>
    <w:rsid w:val="00DC4149"/>
    <w:rsid w:val="00DD0453"/>
    <w:rsid w:val="00DD0B22"/>
    <w:rsid w:val="00DD6017"/>
    <w:rsid w:val="00DF242B"/>
    <w:rsid w:val="00DF5267"/>
    <w:rsid w:val="00DF72C7"/>
    <w:rsid w:val="00E04E98"/>
    <w:rsid w:val="00E17340"/>
    <w:rsid w:val="00E23CFD"/>
    <w:rsid w:val="00E31C05"/>
    <w:rsid w:val="00E32432"/>
    <w:rsid w:val="00E364B0"/>
    <w:rsid w:val="00E4633A"/>
    <w:rsid w:val="00E46956"/>
    <w:rsid w:val="00E60767"/>
    <w:rsid w:val="00E6222F"/>
    <w:rsid w:val="00E72FD3"/>
    <w:rsid w:val="00E73D87"/>
    <w:rsid w:val="00E926EE"/>
    <w:rsid w:val="00E939F5"/>
    <w:rsid w:val="00E94941"/>
    <w:rsid w:val="00E94A20"/>
    <w:rsid w:val="00EA0A19"/>
    <w:rsid w:val="00EC0F4C"/>
    <w:rsid w:val="00EC564A"/>
    <w:rsid w:val="00ED0F96"/>
    <w:rsid w:val="00EE5121"/>
    <w:rsid w:val="00EF58FD"/>
    <w:rsid w:val="00F123D5"/>
    <w:rsid w:val="00F161DB"/>
    <w:rsid w:val="00F1707B"/>
    <w:rsid w:val="00F21087"/>
    <w:rsid w:val="00F255E2"/>
    <w:rsid w:val="00F40847"/>
    <w:rsid w:val="00F526B9"/>
    <w:rsid w:val="00F52B50"/>
    <w:rsid w:val="00F5381D"/>
    <w:rsid w:val="00F55653"/>
    <w:rsid w:val="00F664CC"/>
    <w:rsid w:val="00F82C7A"/>
    <w:rsid w:val="00F91CF8"/>
    <w:rsid w:val="00F93680"/>
    <w:rsid w:val="00FA1C9B"/>
    <w:rsid w:val="00FA438A"/>
    <w:rsid w:val="00FB0F24"/>
    <w:rsid w:val="00FB65BC"/>
    <w:rsid w:val="00FC1A8C"/>
    <w:rsid w:val="00FD053D"/>
    <w:rsid w:val="00FD60A4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6D7"/>
    <w:rPr>
      <w:sz w:val="24"/>
      <w:szCs w:val="24"/>
    </w:rPr>
  </w:style>
  <w:style w:type="paragraph" w:styleId="1">
    <w:name w:val="heading 1"/>
    <w:basedOn w:val="a"/>
    <w:qFormat/>
    <w:rsid w:val="002D0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D0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087"/>
    <w:pPr>
      <w:spacing w:before="100" w:beforeAutospacing="1" w:after="100" w:afterAutospacing="1"/>
    </w:pPr>
  </w:style>
  <w:style w:type="table" w:styleId="a4">
    <w:name w:val="Table Grid"/>
    <w:basedOn w:val="a1"/>
    <w:rsid w:val="002D0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1E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1E04"/>
  </w:style>
  <w:style w:type="table" w:customStyle="1" w:styleId="10">
    <w:name w:val="Сетка таблицы1"/>
    <w:basedOn w:val="a1"/>
    <w:next w:val="a4"/>
    <w:uiPriority w:val="59"/>
    <w:rsid w:val="00F55653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22A3-9803-4E7E-A4D8-10EC3DDE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Коллегии</vt:lpstr>
    </vt:vector>
  </TitlesOfParts>
  <Company>RePack by SPecialiST</Company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</dc:title>
  <dc:creator>User</dc:creator>
  <cp:lastModifiedBy>User</cp:lastModifiedBy>
  <cp:revision>2</cp:revision>
  <cp:lastPrinted>2014-06-27T09:27:00Z</cp:lastPrinted>
  <dcterms:created xsi:type="dcterms:W3CDTF">2023-09-13T06:53:00Z</dcterms:created>
  <dcterms:modified xsi:type="dcterms:W3CDTF">2023-09-13T06:53:00Z</dcterms:modified>
</cp:coreProperties>
</file>